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E" w:rsidRPr="00950A02" w:rsidRDefault="003B42E3">
      <w:pPr>
        <w:jc w:val="center"/>
      </w:pPr>
      <w:r w:rsidRPr="00950A02">
        <w:t>Presidência da República</w:t>
      </w:r>
    </w:p>
    <w:p w:rsidR="002959FE" w:rsidRDefault="003B42E3">
      <w:pPr>
        <w:jc w:val="center"/>
        <w:rPr>
          <w:rFonts w:ascii="Times New Roman" w:hAnsi="Times New Roman" w:cs="Times New Roman"/>
          <w:smallCaps/>
        </w:rPr>
      </w:pPr>
      <w:r w:rsidRPr="00FF295D">
        <w:rPr>
          <w:rFonts w:ascii="Times New Roman" w:hAnsi="Times New Roman" w:cs="Times New Roman"/>
        </w:rPr>
        <w:object w:dxaOrig="7681" w:dyaOrig="2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3.25pt" o:ole="">
            <v:imagedata r:id="rId9" o:title=""/>
          </v:shape>
          <o:OLEObject Type="Embed" ProgID="PBrush" ShapeID="_x0000_i1025" DrawAspect="Content" ObjectID="_1422372379" r:id="rId10"/>
        </w:object>
      </w:r>
    </w:p>
    <w:p w:rsidR="002959FE" w:rsidRDefault="003B42E3">
      <w:pPr>
        <w:pStyle w:val="Ttulo"/>
        <w:rPr>
          <w:rFonts w:ascii="Helvetica" w:hAnsi="Helvetica" w:cs="Helvetica"/>
          <w:i/>
        </w:rPr>
      </w:pPr>
      <w:r>
        <w:rPr>
          <w:rFonts w:ascii="Helvetica" w:hAnsi="Helvetica" w:cs="Helvetica"/>
        </w:rPr>
        <w:t>Conselho de Desenvolvimento Econômico e Social – CDES</w:t>
      </w:r>
    </w:p>
    <w:p w:rsidR="002959FE" w:rsidRDefault="002959FE">
      <w:pPr>
        <w:rPr>
          <w:rFonts w:ascii="Helvetica" w:hAnsi="Helvetica" w:cs="Helvetica"/>
        </w:rPr>
      </w:pPr>
    </w:p>
    <w:p w:rsidR="002959FE" w:rsidRDefault="003B42E3">
      <w:pPr>
        <w:jc w:val="center"/>
        <w:rPr>
          <w:rFonts w:ascii="Helvetica" w:hAnsi="Helvetica" w:cs="Helvetica"/>
          <w:b/>
          <w:i/>
          <w:smallCaps/>
        </w:rPr>
      </w:pPr>
      <w:r>
        <w:rPr>
          <w:rFonts w:ascii="Helvetica" w:hAnsi="Helvetica" w:cs="Helvetica"/>
          <w:b/>
          <w:i/>
          <w:smallCaps/>
        </w:rPr>
        <w:t>Desenvolvimento brasileiro e conjuntura internacional – contribuições do CDES</w:t>
      </w:r>
    </w:p>
    <w:p w:rsidR="002959FE" w:rsidRDefault="003B42E3">
      <w:pPr>
        <w:jc w:val="right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 xml:space="preserve">Brasília, </w:t>
      </w:r>
      <w:r w:rsidR="00D07A4C">
        <w:rPr>
          <w:rFonts w:ascii="Helvetica" w:hAnsi="Helvetica" w:cs="Helvetica"/>
          <w:i/>
        </w:rPr>
        <w:t xml:space="preserve">27 </w:t>
      </w:r>
      <w:r>
        <w:rPr>
          <w:rFonts w:ascii="Helvetica" w:hAnsi="Helvetica" w:cs="Helvetica"/>
          <w:i/>
        </w:rPr>
        <w:t>de fevereiro de 2013.</w:t>
      </w:r>
    </w:p>
    <w:p w:rsidR="002959FE" w:rsidRDefault="002959FE">
      <w:pPr>
        <w:spacing w:before="120" w:after="120"/>
      </w:pPr>
    </w:p>
    <w:p w:rsidR="002959FE" w:rsidRDefault="003B42E3">
      <w:pPr>
        <w:spacing w:before="120" w:after="120"/>
      </w:pPr>
      <w:r>
        <w:t>Cumprindo sua missão de assessoramento à Presidência da República, o Conselho de Desenvolvimento Econômico e Social – CDES – está analisando os desafios e caminhos para sustentar e acelerar a trajetória</w:t>
      </w:r>
      <w:r w:rsidR="00EC1727">
        <w:t xml:space="preserve"> do</w:t>
      </w:r>
      <w:r>
        <w:t xml:space="preserve"> desenvolvimento brasileiro, frente a uma conjuntura internacional complexa e em mudança.</w:t>
      </w:r>
    </w:p>
    <w:p w:rsidR="002959FE" w:rsidRDefault="003B42E3">
      <w:pPr>
        <w:spacing w:before="120" w:after="120"/>
      </w:pPr>
      <w:r>
        <w:t>O CDES tem manifestado apoio ao modelo de desenvolvimento em curso no Brasil, que articula crescimento econômico, distribuição de renda e inclusão social, e crescentemente vem incorporando a variável da sustentabilidade ambiental</w:t>
      </w:r>
      <w:r>
        <w:rPr>
          <w:rStyle w:val="Refdenotaderodap"/>
          <w:rFonts w:ascii="Arial" w:hAnsi="Arial" w:cs="Arial"/>
        </w:rPr>
        <w:footnoteReference w:id="1"/>
      </w:r>
      <w:r>
        <w:t>.</w:t>
      </w:r>
    </w:p>
    <w:p w:rsidR="002959FE" w:rsidRDefault="003B42E3">
      <w:pPr>
        <w:spacing w:before="120" w:after="120"/>
      </w:pPr>
      <w:r>
        <w:t>Neste sentido é importante destacar os resultados consistentes que apontam o sucesso do modelo</w:t>
      </w:r>
      <w:r w:rsidR="003C6A7C">
        <w:t>,</w:t>
      </w:r>
      <w:r>
        <w:t xml:space="preserve"> relativos ao crescimento do emprego, da renda e da massa salarial e </w:t>
      </w:r>
      <w:r w:rsidR="00950A02">
        <w:t>à</w:t>
      </w:r>
      <w:r>
        <w:t xml:space="preserve"> redução das desigualdades</w:t>
      </w:r>
      <w:r>
        <w:rPr>
          <w:rStyle w:val="Refdenotaderodap"/>
          <w:rFonts w:ascii="Arial" w:hAnsi="Arial" w:cs="Arial"/>
        </w:rPr>
        <w:footnoteReference w:id="2"/>
      </w:r>
      <w:r>
        <w:t>. Estes resultados estão gerando novas demandas, mudanças na estrutura produtiva</w:t>
      </w:r>
      <w:r w:rsidR="00494FF5">
        <w:t>,</w:t>
      </w:r>
      <w:r>
        <w:t xml:space="preserve"> necessidades e exigências típicas de uma sociedade mais próspera e menos desigual.</w:t>
      </w:r>
    </w:p>
    <w:p w:rsidR="002959FE" w:rsidRDefault="003B42E3">
      <w:pPr>
        <w:spacing w:before="120" w:after="120"/>
      </w:pPr>
      <w:r>
        <w:t>O CDES considera que, neste momento, é preciso que a indústria esteja no compasso necessário para atender aos requisitos deste modelo, contribuindo para sua sustentação em longo prazo</w:t>
      </w:r>
      <w:r>
        <w:rPr>
          <w:rStyle w:val="Refdenotaderodap"/>
          <w:rFonts w:ascii="Arial" w:hAnsi="Arial" w:cs="Arial"/>
        </w:rPr>
        <w:footnoteReference w:id="3"/>
      </w:r>
      <w:r>
        <w:t xml:space="preserve">. Todo </w:t>
      </w:r>
      <w:r w:rsidR="00494FF5">
        <w:t xml:space="preserve">país </w:t>
      </w:r>
      <w:r>
        <w:t xml:space="preserve">desenvolvido conta com um setor industrial forte, capaz de atender o mercado interno e competir com qualidade no mercado internacional. Sustentar o crescimento econômico nos próximos anos, aumentando a taxa de investimentos para </w:t>
      </w:r>
      <w:proofErr w:type="gramStart"/>
      <w:r>
        <w:t>cerca de 25</w:t>
      </w:r>
      <w:proofErr w:type="gramEnd"/>
      <w:r>
        <w:t xml:space="preserve">% do </w:t>
      </w:r>
      <w:r w:rsidR="00494FF5">
        <w:t xml:space="preserve">PIB </w:t>
      </w:r>
      <w:r>
        <w:t>e expandindo a base industrial, é desafio premente a ser enfrentado em conjunto pelo</w:t>
      </w:r>
      <w:r w:rsidR="00494FF5">
        <w:t>s</w:t>
      </w:r>
      <w:r>
        <w:t xml:space="preserve"> setor</w:t>
      </w:r>
      <w:r w:rsidR="00494FF5">
        <w:t>es</w:t>
      </w:r>
      <w:r>
        <w:t xml:space="preserve"> público e privado. E as articulações necessárias ao fortalecimento desta agenda devem levar em consideração constrangimentos do cenário internacional.</w:t>
      </w:r>
    </w:p>
    <w:p w:rsidR="002959FE" w:rsidRDefault="003B42E3">
      <w:pPr>
        <w:pStyle w:val="PargrafodaLista1"/>
        <w:numPr>
          <w:ilvl w:val="0"/>
          <w:numId w:val="13"/>
        </w:numPr>
        <w:spacing w:before="120" w:after="120"/>
      </w:pPr>
      <w:r>
        <w:t xml:space="preserve">Na economia mundial vislumbra-se um cenário de </w:t>
      </w:r>
      <w:r w:rsidR="003665A7">
        <w:t xml:space="preserve">modesta </w:t>
      </w:r>
      <w:r>
        <w:t>recuperação, no qual deve</w:t>
      </w:r>
      <w:r w:rsidR="003665A7">
        <w:t>m</w:t>
      </w:r>
      <w:r>
        <w:t xml:space="preserve"> prevalecer menores taxas de retorno sobre o capital, crescimento do crédito e busca por aumentos na produtividade e no investimento. Persistem, contudo, enormes desafios, como o elevado nível de desemprego nos países desenvolvidos, dificuldades fiscais nos países da Europa e nos EUA, inadequação de regulação do sistema financeiro internacional e acirramento da competição sob a égide da fragilidade das instâncias de governança global.</w:t>
      </w:r>
    </w:p>
    <w:p w:rsidR="002959FE" w:rsidRDefault="003B42E3">
      <w:pPr>
        <w:pStyle w:val="PargrafodaLista1"/>
        <w:numPr>
          <w:ilvl w:val="0"/>
          <w:numId w:val="13"/>
        </w:numPr>
        <w:spacing w:before="120" w:after="120"/>
      </w:pPr>
      <w:r>
        <w:t>O Brasil tem tomado medidas importantes que estão reorientando o foco da aplicação dos recursos, e cujos resultados, em muitos casos, estão em maturação: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lastRenderedPageBreak/>
        <w:t xml:space="preserve">Expansão de </w:t>
      </w:r>
      <w:r w:rsidR="00494FF5">
        <w:t>crédito</w:t>
      </w:r>
      <w:r>
        <w:t xml:space="preserve">, </w:t>
      </w:r>
      <w:r w:rsidR="00950A02">
        <w:t xml:space="preserve">queda </w:t>
      </w:r>
      <w:r w:rsidR="00986CA4">
        <w:t>nas taxas de</w:t>
      </w:r>
      <w:r w:rsidR="00950A02">
        <w:t xml:space="preserve"> juros, </w:t>
      </w:r>
      <w:r>
        <w:t>desonerações e reduções nos custos de insumos essenciais</w:t>
      </w:r>
      <w:r>
        <w:rPr>
          <w:rStyle w:val="Refdenotaderodap"/>
          <w:rFonts w:ascii="Arial" w:hAnsi="Arial" w:cs="Arial"/>
        </w:rPr>
        <w:footnoteReference w:id="4"/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 xml:space="preserve">Programas de compras governamentais, com margens de </w:t>
      </w:r>
      <w:r w:rsidR="00494FF5">
        <w:t xml:space="preserve">preferência </w:t>
      </w:r>
      <w:r>
        <w:t xml:space="preserve">para empresas nacionais e políticas de conteúdo nacional </w:t>
      </w:r>
      <w:proofErr w:type="gramStart"/>
      <w:r>
        <w:t>implementadas</w:t>
      </w:r>
      <w:proofErr w:type="gramEnd"/>
      <w:r>
        <w:t xml:space="preserve"> por empresas estatais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Ampliação e aperfeiçoamento de concessões de serviços públicos e outras parcerias público-</w:t>
      </w:r>
      <w:r w:rsidR="00494FF5">
        <w:t>privadas</w:t>
      </w:r>
      <w:r w:rsidR="003665A7">
        <w:t>, com vistas a estimular o investimento privado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Um conjunto de investimentos em infraestrutura, educação, formação profissional, ciência tecnologia e inovação.</w:t>
      </w:r>
    </w:p>
    <w:p w:rsidR="002959FE" w:rsidRDefault="002959FE">
      <w:pPr>
        <w:pStyle w:val="PargrafodaLista1"/>
        <w:spacing w:before="120" w:after="120"/>
        <w:ind w:left="1080"/>
      </w:pPr>
    </w:p>
    <w:p w:rsidR="002959FE" w:rsidRDefault="003B42E3">
      <w:pPr>
        <w:pStyle w:val="PargrafodaLista1"/>
        <w:numPr>
          <w:ilvl w:val="0"/>
          <w:numId w:val="13"/>
        </w:numPr>
        <w:spacing w:before="120" w:after="120"/>
      </w:pPr>
      <w:r>
        <w:t xml:space="preserve">Completar a transição para uma economia mais sofisticada, capaz de impulsionar o projeto de desenvolvimento implica enfrentar questões imediatas e estruturais. Neste sentido é importante a ação de governo e de atores sociais visando </w:t>
      </w:r>
      <w:r w:rsidR="00494FF5">
        <w:t xml:space="preserve">o </w:t>
      </w:r>
      <w:r>
        <w:t xml:space="preserve">curto, </w:t>
      </w:r>
      <w:r w:rsidR="00494FF5">
        <w:t xml:space="preserve">o </w:t>
      </w:r>
      <w:r>
        <w:t xml:space="preserve">médio e </w:t>
      </w:r>
      <w:r w:rsidR="00494FF5">
        <w:t xml:space="preserve">o </w:t>
      </w:r>
      <w:r>
        <w:t>longo prazo:</w:t>
      </w:r>
    </w:p>
    <w:p w:rsidR="002959FE" w:rsidRDefault="00950A02">
      <w:pPr>
        <w:pStyle w:val="PargrafodaLista1"/>
        <w:numPr>
          <w:ilvl w:val="1"/>
          <w:numId w:val="13"/>
        </w:numPr>
        <w:spacing w:before="120" w:after="120"/>
        <w:rPr>
          <w:sz w:val="22"/>
          <w:szCs w:val="22"/>
        </w:rPr>
      </w:pPr>
      <w:r>
        <w:t xml:space="preserve">Não permitir </w:t>
      </w:r>
      <w:r w:rsidR="003B42E3">
        <w:t>movimento</w:t>
      </w:r>
      <w:r w:rsidR="00D07A4C">
        <w:t>s</w:t>
      </w:r>
      <w:r w:rsidR="003B42E3">
        <w:t xml:space="preserve"> de apreciação e depreciação excessiv</w:t>
      </w:r>
      <w:r w:rsidR="00D07A4C">
        <w:t>as</w:t>
      </w:r>
      <w:r w:rsidR="003B42E3">
        <w:t xml:space="preserve"> do câmbio, que compromete</w:t>
      </w:r>
      <w:r w:rsidR="00D07A4C">
        <w:t>m</w:t>
      </w:r>
      <w:r w:rsidR="003B42E3">
        <w:t xml:space="preserve"> o planejamento público e privado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 xml:space="preserve">Manter as expectativas </w:t>
      </w:r>
      <w:r w:rsidR="00494FF5">
        <w:t xml:space="preserve">inflacionárias </w:t>
      </w:r>
      <w:proofErr w:type="gramStart"/>
      <w:r>
        <w:t>sob controle</w:t>
      </w:r>
      <w:proofErr w:type="gramEnd"/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 xml:space="preserve">Estar atento à dinâmica da </w:t>
      </w:r>
      <w:r w:rsidR="00494FF5">
        <w:t>dívida pública;</w:t>
      </w:r>
    </w:p>
    <w:p w:rsidR="002959FE" w:rsidRDefault="00950A02">
      <w:pPr>
        <w:pStyle w:val="PargrafodaLista1"/>
        <w:numPr>
          <w:ilvl w:val="1"/>
          <w:numId w:val="13"/>
        </w:numPr>
        <w:spacing w:before="120" w:after="120"/>
        <w:rPr>
          <w:sz w:val="22"/>
          <w:szCs w:val="22"/>
        </w:rPr>
      </w:pPr>
      <w:r>
        <w:t>Tomar as medidas de defesa</w:t>
      </w:r>
      <w:r w:rsidR="003B42E3">
        <w:t xml:space="preserve"> necessárias para fazer frente à competição desleal e predatória que está acontecendo em alguns setores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 xml:space="preserve">Aperfeiçoar o financiamento </w:t>
      </w:r>
      <w:r w:rsidR="003665A7">
        <w:t>à</w:t>
      </w:r>
      <w:r>
        <w:t xml:space="preserve"> pequena e média empresa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Garantir os investimentos públicos, em volume e ritmo adequados para o processo de desenvolvimento brasileiro</w:t>
      </w:r>
      <w:r w:rsidR="00494FF5">
        <w:t>;</w:t>
      </w:r>
    </w:p>
    <w:p w:rsidR="00D07A4C" w:rsidRDefault="00D07A4C">
      <w:pPr>
        <w:pStyle w:val="PargrafodaLista1"/>
        <w:numPr>
          <w:ilvl w:val="1"/>
          <w:numId w:val="13"/>
        </w:numPr>
        <w:spacing w:before="120" w:after="120"/>
      </w:pPr>
      <w:r w:rsidRPr="00D07A4C">
        <w:t>Garantir a retomada dos investimentos na infraestrutura de transportes e modal logístico, que permita dinamizar a economia ao fortalecer a integração do País, reduzindo custos e aumentando a competividade do produtor bras</w:t>
      </w:r>
      <w:r>
        <w:t>ileiro, nos mercados interno</w:t>
      </w:r>
      <w:r w:rsidRPr="00D07A4C">
        <w:t xml:space="preserve"> e externo</w:t>
      </w:r>
      <w:r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Garantir as contrapartidas sociais dos empreendimentos estimulados pelos investimentos públicos, pelas políticas de conteúdo nacional e compras governamentais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 xml:space="preserve">Garantir </w:t>
      </w:r>
      <w:proofErr w:type="gramStart"/>
      <w:r>
        <w:t>marcos regulatórios mais estáveis</w:t>
      </w:r>
      <w:proofErr w:type="gramEnd"/>
      <w:r>
        <w:t>, processos mais ágeis e simplificados, melhorando o ambiente de negócios e conferindo maior segurança para as decisões de investimento</w:t>
      </w:r>
      <w:r w:rsidR="00494FF5">
        <w:t>;</w:t>
      </w:r>
      <w:bookmarkStart w:id="0" w:name="_GoBack"/>
      <w:bookmarkEnd w:id="0"/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Ampliar os investimentos em ciência, tecnologia e inovação. É preciso que CT&amp;I seja definitivamente consagrada como política de primeira linha, com recursos e marcos regulatórios adequados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t>Fortalecer as cadeias produtivas e</w:t>
      </w:r>
      <w:r w:rsidR="003665A7">
        <w:t>stimulando a</w:t>
      </w:r>
      <w:r>
        <w:t xml:space="preserve"> agrega</w:t>
      </w:r>
      <w:r w:rsidR="003665A7">
        <w:t>ção de</w:t>
      </w:r>
      <w:r>
        <w:t xml:space="preserve"> valor aos produtos, principalmente da </w:t>
      </w:r>
      <w:r w:rsidR="003665A7">
        <w:t>base produtora de commodities</w:t>
      </w:r>
      <w:r w:rsidR="00494FF5">
        <w:t>;</w:t>
      </w:r>
    </w:p>
    <w:p w:rsidR="002959FE" w:rsidRDefault="003B42E3">
      <w:pPr>
        <w:pStyle w:val="PargrafodaLista1"/>
        <w:numPr>
          <w:ilvl w:val="1"/>
          <w:numId w:val="13"/>
        </w:numPr>
        <w:spacing w:before="120" w:after="120"/>
      </w:pPr>
      <w:r>
        <w:lastRenderedPageBreak/>
        <w:t xml:space="preserve">Ampliar o compromisso do setor privado com a inovação, com o emprego qualificado e com a melhoria </w:t>
      </w:r>
      <w:r w:rsidR="00494FF5">
        <w:t xml:space="preserve">contínua </w:t>
      </w:r>
      <w:r>
        <w:t>das condições de trabalho. A força da indústria se mede pela capacidade de desenvolver novos produtos e novos processos.</w:t>
      </w:r>
    </w:p>
    <w:p w:rsidR="002959FE" w:rsidRDefault="003B42E3">
      <w:pPr>
        <w:spacing w:before="120" w:after="120"/>
      </w:pPr>
      <w:r>
        <w:t>De maneira especial, o CDES recomenda</w:t>
      </w:r>
      <w:r w:rsidR="00986CA4">
        <w:t xml:space="preserve"> o</w:t>
      </w:r>
      <w:r>
        <w:t xml:space="preserve"> </w:t>
      </w:r>
      <w:r>
        <w:rPr>
          <w:b/>
        </w:rPr>
        <w:t>aprofundamento da comunicação e coordenação entre governos (federal, estados e município) e com atores sociais</w:t>
      </w:r>
      <w:r>
        <w:t xml:space="preserve"> como condição para que seja dado o salto necessário nos investimentos. A convicção é que as recentes conquistas do País têm estreita relação com entendimentos pactuados, com mobilização de vontade coletiva, que atuaram, inclusive, quando do enfrentamento da crise em 2008 / 2009.</w:t>
      </w:r>
    </w:p>
    <w:p w:rsidR="002959FE" w:rsidRDefault="00A05443">
      <w:pPr>
        <w:spacing w:before="120" w:after="1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-112928</wp:posOffset>
                </wp:positionH>
                <wp:positionV relativeFrom="paragraph">
                  <wp:posOffset>152857</wp:posOffset>
                </wp:positionV>
                <wp:extent cx="6246901" cy="3291840"/>
                <wp:effectExtent l="0" t="0" r="20955" b="228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901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9FE" w:rsidRDefault="003B42E3">
                            <w:pPr>
                              <w:spacing w:line="240" w:lineRule="auto"/>
                              <w:ind w:left="113" w:right="113"/>
                            </w:pPr>
                            <w:r>
                              <w:t>O CDES propõe, então</w:t>
                            </w:r>
                            <w:r w:rsidR="00E77221">
                              <w:t xml:space="preserve">, </w:t>
                            </w:r>
                            <w:r w:rsidR="004E6D24">
                              <w:t xml:space="preserve">envolver </w:t>
                            </w:r>
                            <w:r>
                              <w:t xml:space="preserve">conselheiros e suas instituições, parceiros técnicos e a rede de conselhos econômicos e sociais brasileiros, para </w:t>
                            </w:r>
                            <w:r w:rsidR="00AE2C44">
                              <w:t>apoiar o esforço de</w:t>
                            </w:r>
                            <w:r>
                              <w:t xml:space="preserve"> ampliação dos investimentos e o crescimento da competitividade sistêmica da economia, com base na inovação, na sustentabilidade, na garantia de proteção social e de emprego decente.</w:t>
                            </w:r>
                          </w:p>
                          <w:p w:rsidR="002959FE" w:rsidRDefault="003B42E3">
                            <w:pPr>
                              <w:spacing w:line="240" w:lineRule="auto"/>
                              <w:ind w:left="113" w:right="113"/>
                            </w:pPr>
                            <w:r>
                              <w:t>O produto desde processo será um exame integrado dos desafios</w:t>
                            </w:r>
                            <w:r w:rsidR="00DA4B8A">
                              <w:t xml:space="preserve"> imediatos e mediatos</w:t>
                            </w:r>
                            <w:r>
                              <w:t xml:space="preserve">, que leve em conta os diferentes elementos e suas interconexões e, concomitantemente, </w:t>
                            </w:r>
                            <w:r w:rsidR="00DA4B8A">
                              <w:t xml:space="preserve">destaque </w:t>
                            </w:r>
                            <w:r>
                              <w:t>sugestões de medidas emergenciais e estruturantes, cujos impactos se farão sentir no curto, médio e longo prazo.</w:t>
                            </w:r>
                          </w:p>
                          <w:p w:rsidR="002959FE" w:rsidRDefault="003B42E3">
                            <w:pPr>
                              <w:spacing w:line="240" w:lineRule="auto"/>
                              <w:ind w:left="113" w:right="113"/>
                            </w:pPr>
                            <w:r>
                              <w:t>Este processo pode contribuir para a compreensão e informação do conjunto da sociedade sobre ações e políticas públicas em andamento; e para desmistificação de questões que estão presentes no debate</w:t>
                            </w:r>
                            <w:r w:rsidR="00D07A4C">
                              <w:t>,</w:t>
                            </w:r>
                            <w:r>
                              <w:t xml:space="preserve"> mas deslocadas da mudança em foco.</w:t>
                            </w:r>
                          </w:p>
                          <w:p w:rsidR="002959FE" w:rsidRDefault="003B42E3">
                            <w:pPr>
                              <w:spacing w:line="240" w:lineRule="auto"/>
                              <w:ind w:left="113" w:right="11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Por meio deste esforço, o CDES reafirma seu compromisso com </w:t>
                            </w:r>
                            <w:r w:rsidR="00D07A4C">
                              <w:t xml:space="preserve">um padrão de </w:t>
                            </w:r>
                            <w:r>
                              <w:t xml:space="preserve">desenvolvimento </w:t>
                            </w:r>
                            <w:r w:rsidR="00DA4B8A">
                              <w:t>que combin</w:t>
                            </w:r>
                            <w:r w:rsidR="004E6D24">
                              <w:t>a</w:t>
                            </w:r>
                            <w:r w:rsidR="00DA4B8A">
                              <w:t xml:space="preserve"> crescimento econômico com redução de desigualdades</w:t>
                            </w:r>
                            <w:r>
                              <w:t xml:space="preserve"> e com o diálogo entre os diferentes segmentos sociais e governo, como ferramenta para esta construção.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8.9pt;margin-top:12.05pt;width:491.9pt;height:25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" strokeweight=".5pt">
                <v:textbox>
                  <w:txbxContent>
                    <w:p w:rsidR="002959FE" w:rsidRDefault="003B42E3">
                      <w:pPr>
                        <w:spacing w:line="240" w:lineRule="auto"/>
                        <w:ind w:left="113" w:right="113"/>
                      </w:pPr>
                      <w:r>
                        <w:t>O CDES propõe, então</w:t>
                      </w:r>
                      <w:r w:rsidR="00E77221">
                        <w:t xml:space="preserve">, </w:t>
                      </w:r>
                      <w:r w:rsidR="004E6D24">
                        <w:t xml:space="preserve">envolver </w:t>
                      </w:r>
                      <w:r>
                        <w:t xml:space="preserve">conselheiros e suas instituições, parceiros técnicos e a rede de conselhos econômicos e sociais brasileiros, para </w:t>
                      </w:r>
                      <w:r w:rsidR="00AE2C44">
                        <w:t>apoiar o esforço de</w:t>
                      </w:r>
                      <w:r>
                        <w:t xml:space="preserve"> ampliação dos investimentos e o crescimento da competitividade sistêmica da economia, com base na inovação, na sustentabilidade, na garantia de proteção social e de emprego decente.</w:t>
                      </w:r>
                    </w:p>
                    <w:p w:rsidR="002959FE" w:rsidRDefault="003B42E3">
                      <w:pPr>
                        <w:spacing w:line="240" w:lineRule="auto"/>
                        <w:ind w:left="113" w:right="113"/>
                      </w:pPr>
                      <w:r>
                        <w:t>O produto desde processo será um exame integrado dos desafios</w:t>
                      </w:r>
                      <w:r w:rsidR="00DA4B8A">
                        <w:t xml:space="preserve"> imediatos e mediatos</w:t>
                      </w:r>
                      <w:r>
                        <w:t xml:space="preserve">, que leve em conta os diferentes elementos e suas interconexões e, concomitantemente, </w:t>
                      </w:r>
                      <w:r w:rsidR="00DA4B8A">
                        <w:t xml:space="preserve">destaque </w:t>
                      </w:r>
                      <w:r>
                        <w:t>sugestões de medidas emergenciais e estruturantes, cujos impactos se farão sentir no curto, médio e longo prazo.</w:t>
                      </w:r>
                    </w:p>
                    <w:p w:rsidR="002959FE" w:rsidRDefault="003B42E3">
                      <w:pPr>
                        <w:spacing w:line="240" w:lineRule="auto"/>
                        <w:ind w:left="113" w:right="113"/>
                      </w:pPr>
                      <w:r>
                        <w:t>Este processo pode contribuir para a compreensão e informação do conjunto da sociedade sobre ações e políticas públicas em andamento; e para desmistificação de questões que estão presentes no debate</w:t>
                      </w:r>
                      <w:r w:rsidR="00D07A4C">
                        <w:t>,</w:t>
                      </w:r>
                      <w:r>
                        <w:t xml:space="preserve"> mas deslocadas da mudança em foco.</w:t>
                      </w:r>
                    </w:p>
                    <w:p w:rsidR="002959FE" w:rsidRDefault="003B42E3">
                      <w:pPr>
                        <w:spacing w:line="240" w:lineRule="auto"/>
                        <w:ind w:left="113" w:right="113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Por meio deste esforço, o CDES reafirma seu compromisso com </w:t>
                      </w:r>
                      <w:r w:rsidR="00D07A4C">
                        <w:t xml:space="preserve">um padrão de </w:t>
                      </w:r>
                      <w:r>
                        <w:t xml:space="preserve">desenvolvimento </w:t>
                      </w:r>
                      <w:r w:rsidR="00DA4B8A">
                        <w:t>que combin</w:t>
                      </w:r>
                      <w:r w:rsidR="004E6D24">
                        <w:t>a</w:t>
                      </w:r>
                      <w:r w:rsidR="00DA4B8A">
                        <w:t xml:space="preserve"> crescimento econômico com redução de desigualdades</w:t>
                      </w:r>
                      <w:r>
                        <w:t xml:space="preserve"> e com o diálogo entre os diferentes segmentos sociais e governo, como ferramenta para esta construção.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2959FE" w:rsidRDefault="002959FE">
      <w:pPr>
        <w:spacing w:before="120" w:after="120"/>
      </w:pPr>
    </w:p>
    <w:p w:rsidR="002959FE" w:rsidRDefault="002959FE">
      <w:pPr>
        <w:spacing w:before="120" w:after="120"/>
      </w:pPr>
    </w:p>
    <w:p w:rsidR="002959FE" w:rsidRDefault="002959FE">
      <w:pPr>
        <w:spacing w:before="120" w:after="120"/>
      </w:pPr>
    </w:p>
    <w:p w:rsidR="002959FE" w:rsidRDefault="002959FE">
      <w:pPr>
        <w:spacing w:before="120" w:after="120"/>
      </w:pPr>
    </w:p>
    <w:p w:rsidR="002959FE" w:rsidRDefault="002959FE">
      <w:pPr>
        <w:spacing w:before="120" w:after="120"/>
      </w:pPr>
    </w:p>
    <w:p w:rsidR="002959FE" w:rsidRDefault="002959FE">
      <w:pPr>
        <w:spacing w:before="120" w:after="120"/>
      </w:pPr>
    </w:p>
    <w:p w:rsidR="002959FE" w:rsidRDefault="003B42E3">
      <w:pPr>
        <w:spacing w:before="0" w:after="200"/>
        <w:jc w:val="left"/>
      </w:pPr>
      <w:r>
        <w:br w:type="page"/>
      </w:r>
    </w:p>
    <w:p w:rsidR="002959FE" w:rsidRDefault="003B42E3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>Anexo – em construção</w:t>
      </w:r>
    </w:p>
    <w:p w:rsidR="002959FE" w:rsidRDefault="002959FE">
      <w:pPr>
        <w:spacing w:before="120" w:after="120"/>
      </w:pPr>
    </w:p>
    <w:p w:rsidR="002959FE" w:rsidRDefault="003B42E3">
      <w:pPr>
        <w:spacing w:before="120" w:after="120"/>
      </w:pPr>
      <w:r>
        <w:t xml:space="preserve">Questões / elementos </w:t>
      </w:r>
      <w:r w:rsidR="00494FF5">
        <w:t xml:space="preserve">considerados prioritários </w:t>
      </w:r>
      <w:r>
        <w:t>para análise, a serem aprofundadas.</w:t>
      </w:r>
    </w:p>
    <w:p w:rsidR="002959FE" w:rsidRDefault="003B42E3">
      <w:pPr>
        <w:spacing w:before="120" w:after="120"/>
      </w:pPr>
      <w:r>
        <w:t xml:space="preserve"> (outras poderão ser agregadas ao longo do processo)</w:t>
      </w:r>
    </w:p>
    <w:p w:rsidR="002959FE" w:rsidRDefault="002959FE">
      <w:pPr>
        <w:spacing w:before="120" w:after="12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>Desequilíbrio estrutural internacional</w:t>
      </w:r>
    </w:p>
    <w:p w:rsidR="002959FE" w:rsidRDefault="003B42E3">
      <w:pPr>
        <w:pStyle w:val="PargrafodaLista1"/>
        <w:numPr>
          <w:ilvl w:val="0"/>
          <w:numId w:val="10"/>
        </w:numPr>
        <w:spacing w:before="120" w:after="120"/>
      </w:pPr>
      <w:r>
        <w:t>A economia internacional está sujeita a desequilíbrios estruturais, dada a inferência dos mercados abertos no mundo globalizado. Esses desequilíbrios estruturais e seus efeitos ficam mais evidentes quando a adoção de um conjunto de ordenamentos macro e microeconômico, internos aos países, são anulados pela combinação “fora da regra” de ações realizadas em outros países</w:t>
      </w:r>
      <w:r w:rsidR="00494FF5">
        <w:t xml:space="preserve"> -</w:t>
      </w:r>
      <w:proofErr w:type="gramStart"/>
      <w:r w:rsidR="00494FF5">
        <w:t xml:space="preserve">  </w:t>
      </w:r>
      <w:proofErr w:type="gramEnd"/>
      <w:r w:rsidR="00494FF5">
        <w:t xml:space="preserve">como </w:t>
      </w:r>
      <w:r>
        <w:t>no caso da combinação das variáveis que asseguram a competitividade chinesa. É preciso levar em conta tais desequilíbrios e seus impactos sobre a agenda de desenvolvimento.</w:t>
      </w:r>
    </w:p>
    <w:p w:rsidR="002959FE" w:rsidRDefault="002959FE">
      <w:pPr>
        <w:pStyle w:val="PargrafodaLista1"/>
        <w:spacing w:before="120" w:after="120"/>
        <w:ind w:left="144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>Investimentos públicos (orçamento + bancos públicos + estatais) e dos trabalhadores (fundos de pensão)</w:t>
      </w:r>
    </w:p>
    <w:p w:rsidR="002959FE" w:rsidRDefault="003B42E3">
      <w:pPr>
        <w:pStyle w:val="PargrafodaLista1"/>
        <w:numPr>
          <w:ilvl w:val="0"/>
          <w:numId w:val="10"/>
        </w:numPr>
        <w:spacing w:before="120" w:after="120"/>
      </w:pPr>
      <w:r>
        <w:t>Sinergia com os objetivos do desenvolvimento em novo padrão</w:t>
      </w:r>
    </w:p>
    <w:p w:rsidR="002959FE" w:rsidRDefault="003B42E3">
      <w:pPr>
        <w:pStyle w:val="PargrafodaLista1"/>
        <w:numPr>
          <w:ilvl w:val="0"/>
          <w:numId w:val="10"/>
        </w:numPr>
        <w:spacing w:before="120" w:after="120"/>
      </w:pPr>
      <w:r>
        <w:t xml:space="preserve">Contrapartidas </w:t>
      </w:r>
      <w:proofErr w:type="gramStart"/>
      <w:r>
        <w:t>sociais/trabalhadores</w:t>
      </w:r>
      <w:proofErr w:type="gramEnd"/>
    </w:p>
    <w:p w:rsidR="002959FE" w:rsidRDefault="002959FE">
      <w:pPr>
        <w:pStyle w:val="PargrafodaLista1"/>
        <w:spacing w:before="120" w:after="12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Defesa comercial </w:t>
      </w:r>
    </w:p>
    <w:p w:rsidR="002959FE" w:rsidRDefault="003B42E3">
      <w:pPr>
        <w:pStyle w:val="PargrafodaLista1"/>
        <w:numPr>
          <w:ilvl w:val="0"/>
          <w:numId w:val="10"/>
        </w:numPr>
        <w:spacing w:before="120" w:after="120"/>
      </w:pPr>
      <w:r>
        <w:t xml:space="preserve">A defesa comercial nacional deve ser entendida como ação integrada à estratégia de desenvolvimento do País. Neste caso, a regulamentação da defesa comercial e de legislação e fiscalização apropriada devem ser fomentadas.  </w:t>
      </w:r>
    </w:p>
    <w:p w:rsidR="002959FE" w:rsidRDefault="002959FE">
      <w:pPr>
        <w:pStyle w:val="PargrafodaLista1"/>
        <w:spacing w:before="120" w:after="120"/>
        <w:ind w:left="144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Indústria nacional e competitividade 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>A política industrial nacional está intrinsecamente articulada à política monetária e cambial e a outras variáveis fundamentais como: articulação público-privada, qualificação de mão-de-obra, tecnologia e inovação, infraestrutura, mecanismos de financiamento do investimento.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 xml:space="preserve">O fortalecimento da indústria nacional competitiva, capaz de gerar produção de maior valor agregado, passa pela incorporação de novas tecnologias e inovação e mobilização de conhecimento da chamada 4ª revolução industrial. 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>Investimentos constantes em diferentes tipos de segmentos de empresas (micro, pequenas, médias e grandes) e o fortalecimento de diferentes setores complementares também são fundamentais à competitividade. Soluções que criem e fortaleçam novos instrumentos destinados aos diferentes segmentos e que analisem gargalos aos setores devem ser propostos em detalhes.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lastRenderedPageBreak/>
        <w:t xml:space="preserve">De maneira especial, entender o papel </w:t>
      </w:r>
      <w:proofErr w:type="gramStart"/>
      <w:r>
        <w:t>das micro</w:t>
      </w:r>
      <w:proofErr w:type="gramEnd"/>
      <w:r>
        <w:t>, pequena e média empresas para a agenda de desenvolvimento, aperfeiçoando e criando instrumentos para apoio e financiamento.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>Investimentos setoriais constantes e sua articulação com o planejamento das redes de infraestrutura são fundamentais para a competitividade da economia nacional – setores industrial e agrícola.</w:t>
      </w:r>
    </w:p>
    <w:p w:rsidR="002959FE" w:rsidRDefault="002959FE">
      <w:pPr>
        <w:pStyle w:val="PargrafodaLista1"/>
        <w:spacing w:before="120" w:after="120"/>
        <w:ind w:left="144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Mercado de trabalho 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 xml:space="preserve">Entender o comportamento e as necessidades do mercado de trabalho, assim como a importância da qualificação da </w:t>
      </w:r>
      <w:r w:rsidR="00494FF5">
        <w:t>mão-de-</w:t>
      </w:r>
      <w:r>
        <w:t xml:space="preserve">obra e das demandas futuras, dada </w:t>
      </w:r>
      <w:proofErr w:type="gramStart"/>
      <w:r>
        <w:t>a</w:t>
      </w:r>
      <w:proofErr w:type="gramEnd"/>
      <w:r>
        <w:t xml:space="preserve"> estrutura demográfica da população, é de suma importância para atender e antecipar necessidades da agenda de desenvolvimento. </w:t>
      </w:r>
    </w:p>
    <w:p w:rsidR="002959FE" w:rsidRDefault="002959FE">
      <w:pPr>
        <w:pStyle w:val="PargrafodaLista1"/>
        <w:spacing w:before="120" w:after="120"/>
        <w:ind w:left="144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Sistema financeiro 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>Entender as pressões sobre o sistema financeiro, sob a ótica do comportamento das famílias e das empresas é fundamental para antecipar gargalos e transpor desafios.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 xml:space="preserve">Avançar na trajetória de queda dos juros e </w:t>
      </w:r>
      <w:proofErr w:type="gramStart"/>
      <w:r>
        <w:t>dos spread</w:t>
      </w:r>
      <w:proofErr w:type="gramEnd"/>
      <w:r>
        <w:t>, de forma a garantir que os instrumentos do sistema financeiro se somem aos demais esforços ao desenvolvimento.</w:t>
      </w:r>
    </w:p>
    <w:p w:rsidR="00986CA4" w:rsidRDefault="00986CA4">
      <w:pPr>
        <w:pStyle w:val="PargrafodaLista1"/>
        <w:numPr>
          <w:ilvl w:val="0"/>
          <w:numId w:val="9"/>
        </w:numPr>
        <w:spacing w:before="120" w:after="120"/>
      </w:pPr>
      <w:r w:rsidRPr="00986CA4">
        <w:t xml:space="preserve">Debater os desafios para as </w:t>
      </w:r>
      <w:r w:rsidRPr="00986CA4">
        <w:t xml:space="preserve">instituições bancárias </w:t>
      </w:r>
      <w:r w:rsidRPr="00986CA4">
        <w:t>para</w:t>
      </w:r>
      <w:r w:rsidRPr="00986CA4">
        <w:t xml:space="preserve"> adaptação a um novo ambiente de negócios, onde as taxas de juros e spreads são menores, e crédito necessita continuar se expandido, inclusive em direção ao financiamento de longo prazo. É importante também avançar no entendimento de que há funções ora complementares ora competitivas entre as diversas tarefas que precisam ser cumpridas pelas instituições financeiras do setor privado e do setor público</w:t>
      </w:r>
    </w:p>
    <w:p w:rsidR="002959FE" w:rsidRDefault="002959FE">
      <w:pPr>
        <w:pStyle w:val="PargrafodaLista1"/>
        <w:spacing w:before="120" w:after="120"/>
        <w:ind w:left="1440"/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Gestão / ambiente de negócios </w:t>
      </w:r>
    </w:p>
    <w:p w:rsidR="002959FE" w:rsidRDefault="002959FE">
      <w:pPr>
        <w:pStyle w:val="PargrafodaLista1"/>
        <w:spacing w:before="120" w:after="120"/>
        <w:rPr>
          <w:b/>
        </w:rPr>
      </w:pPr>
    </w:p>
    <w:p w:rsidR="002959FE" w:rsidRDefault="003B42E3">
      <w:pPr>
        <w:pStyle w:val="PargrafodaLista1"/>
        <w:numPr>
          <w:ilvl w:val="0"/>
          <w:numId w:val="5"/>
        </w:numPr>
        <w:spacing w:before="120" w:after="120"/>
      </w:pPr>
      <w:r>
        <w:t xml:space="preserve">Pacto federativo </w:t>
      </w:r>
    </w:p>
    <w:p w:rsidR="002959FE" w:rsidRDefault="003B42E3">
      <w:pPr>
        <w:pStyle w:val="PargrafodaLista1"/>
        <w:numPr>
          <w:ilvl w:val="0"/>
          <w:numId w:val="9"/>
        </w:numPr>
        <w:spacing w:before="120" w:after="120"/>
      </w:pPr>
      <w:r>
        <w:t xml:space="preserve">A coordenação federativa é um instrumento chave de apoio e articulação ao sucesso da agenda de desenvolvimento. Este esforço deve levar em consideração uma gama de temas, como: tributação; investimento em infraestrutura; desconcentração do investimento; articulação de atores públicos e privados, entre outros. </w:t>
      </w:r>
    </w:p>
    <w:p w:rsidR="002959FE" w:rsidRDefault="002959FE">
      <w:pPr>
        <w:spacing w:before="120" w:after="120"/>
        <w:jc w:val="left"/>
      </w:pPr>
    </w:p>
    <w:sectPr w:rsidR="002959FE" w:rsidSect="00FF295D"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7E" w:rsidRDefault="004C1B7E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4C1B7E" w:rsidRDefault="004C1B7E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FE" w:rsidRDefault="00FF295D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42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59FE" w:rsidRDefault="002959FE">
    <w:pPr>
      <w:pStyle w:val="Rodap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FE" w:rsidRDefault="002959FE">
    <w:pPr>
      <w:pStyle w:val="Rodap"/>
      <w:jc w:val="right"/>
      <w:rPr>
        <w:rFonts w:ascii="Times New Roman" w:hAnsi="Times New Roman" w:cs="Times New Roman"/>
      </w:rPr>
    </w:pPr>
  </w:p>
  <w:p w:rsidR="002959FE" w:rsidRDefault="002959FE">
    <w:pPr>
      <w:pStyle w:val="Rodap"/>
      <w:ind w:right="360" w:firstLine="360"/>
      <w:jc w:val="lef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7E" w:rsidRDefault="004C1B7E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4C1B7E" w:rsidRDefault="004C1B7E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2959FE" w:rsidRPr="00D07A4C" w:rsidRDefault="003B42E3">
      <w:pPr>
        <w:pStyle w:val="Textodenotaderodap"/>
        <w:rPr>
          <w:rFonts w:ascii="Arial" w:hAnsi="Arial" w:cs="Arial"/>
        </w:rPr>
      </w:pPr>
      <w:r w:rsidRPr="00D07A4C">
        <w:rPr>
          <w:rStyle w:val="Refdenotaderodap"/>
          <w:rFonts w:ascii="Arial" w:hAnsi="Arial" w:cs="Arial"/>
        </w:rPr>
        <w:footnoteRef/>
      </w:r>
      <w:r w:rsidRPr="00D07A4C">
        <w:rPr>
          <w:rFonts w:ascii="Arial" w:hAnsi="Arial" w:cs="Arial"/>
        </w:rPr>
        <w:t xml:space="preserve"> Ver Agenda do Novo Ciclo de Desenvolvimento e outros documentos do CDES</w:t>
      </w:r>
    </w:p>
  </w:footnote>
  <w:footnote w:id="2">
    <w:p w:rsidR="002959FE" w:rsidRPr="00D07A4C" w:rsidRDefault="003B42E3">
      <w:pPr>
        <w:pStyle w:val="Textodenotaderodap"/>
        <w:rPr>
          <w:rFonts w:ascii="Arial" w:hAnsi="Arial" w:cs="Arial"/>
        </w:rPr>
      </w:pPr>
      <w:r w:rsidRPr="00D07A4C">
        <w:rPr>
          <w:rStyle w:val="Refdenotaderodap"/>
          <w:rFonts w:ascii="Arial" w:hAnsi="Arial" w:cs="Arial"/>
        </w:rPr>
        <w:footnoteRef/>
      </w:r>
      <w:r w:rsidRPr="00D07A4C">
        <w:rPr>
          <w:rFonts w:ascii="Arial" w:hAnsi="Arial" w:cs="Arial"/>
        </w:rPr>
        <w:t xml:space="preserve"> Dados emprego / renda / desigualdades</w:t>
      </w:r>
    </w:p>
  </w:footnote>
  <w:footnote w:id="3">
    <w:p w:rsidR="002959FE" w:rsidRPr="00D07A4C" w:rsidRDefault="003B42E3">
      <w:pPr>
        <w:pStyle w:val="Textodenotaderodap"/>
        <w:rPr>
          <w:rFonts w:ascii="Arial" w:hAnsi="Arial" w:cs="Arial"/>
        </w:rPr>
      </w:pPr>
      <w:r w:rsidRPr="00D07A4C">
        <w:rPr>
          <w:rStyle w:val="Refdenotaderodap"/>
          <w:rFonts w:ascii="Arial" w:hAnsi="Arial" w:cs="Arial"/>
        </w:rPr>
        <w:footnoteRef/>
      </w:r>
      <w:r w:rsidRPr="00D07A4C">
        <w:rPr>
          <w:rFonts w:ascii="Arial" w:hAnsi="Arial" w:cs="Arial"/>
        </w:rPr>
        <w:t xml:space="preserve"> Dados consumo / produção</w:t>
      </w:r>
    </w:p>
  </w:footnote>
  <w:footnote w:id="4">
    <w:p w:rsidR="002959FE" w:rsidRPr="00950A02" w:rsidRDefault="003B42E3">
      <w:pPr>
        <w:pStyle w:val="Textodenotaderodap"/>
        <w:rPr>
          <w:rFonts w:ascii="Arial" w:hAnsi="Arial" w:cs="Arial"/>
        </w:rPr>
      </w:pPr>
      <w:r w:rsidRPr="00950A02">
        <w:rPr>
          <w:rStyle w:val="Refdenotaderodap"/>
          <w:rFonts w:ascii="Arial" w:hAnsi="Arial" w:cs="Arial"/>
        </w:rPr>
        <w:footnoteRef/>
      </w:r>
      <w:r w:rsidRPr="00950A02">
        <w:rPr>
          <w:rFonts w:ascii="Arial" w:hAnsi="Arial" w:cs="Arial"/>
        </w:rPr>
        <w:t xml:space="preserve"> </w:t>
      </w:r>
      <w:proofErr w:type="gramStart"/>
      <w:r w:rsidRPr="00950A02">
        <w:rPr>
          <w:rFonts w:ascii="Arial" w:hAnsi="Arial" w:cs="Arial"/>
        </w:rPr>
        <w:t>Dados credito</w:t>
      </w:r>
      <w:proofErr w:type="gramEnd"/>
      <w:r w:rsidRPr="00950A02">
        <w:rPr>
          <w:rFonts w:ascii="Arial" w:hAnsi="Arial" w:cs="Arial"/>
        </w:rPr>
        <w:t xml:space="preserve"> / desonerações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EAA"/>
    <w:multiLevelType w:val="hybridMultilevel"/>
    <w:tmpl w:val="CBFAB48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">
    <w:nsid w:val="09E5454C"/>
    <w:multiLevelType w:val="hybridMultilevel"/>
    <w:tmpl w:val="7FE4B8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">
    <w:nsid w:val="0EDE0DEF"/>
    <w:multiLevelType w:val="hybridMultilevel"/>
    <w:tmpl w:val="6DAE20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69B7DF3"/>
    <w:multiLevelType w:val="hybridMultilevel"/>
    <w:tmpl w:val="326A8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18F76014"/>
    <w:multiLevelType w:val="hybridMultilevel"/>
    <w:tmpl w:val="2FBA82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FDF7271"/>
    <w:multiLevelType w:val="hybridMultilevel"/>
    <w:tmpl w:val="43B049F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6">
    <w:nsid w:val="340571DD"/>
    <w:multiLevelType w:val="hybridMultilevel"/>
    <w:tmpl w:val="E21254F2"/>
    <w:lvl w:ilvl="0" w:tplc="7C72C008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66804A2"/>
    <w:multiLevelType w:val="hybridMultilevel"/>
    <w:tmpl w:val="1E8E8A5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8">
    <w:nsid w:val="452970C4"/>
    <w:multiLevelType w:val="hybridMultilevel"/>
    <w:tmpl w:val="AB14943C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8C626C2"/>
    <w:multiLevelType w:val="hybridMultilevel"/>
    <w:tmpl w:val="AB14943C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49CF526F"/>
    <w:multiLevelType w:val="hybridMultilevel"/>
    <w:tmpl w:val="AB14943C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3B93188"/>
    <w:multiLevelType w:val="hybridMultilevel"/>
    <w:tmpl w:val="B9A8D2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2">
    <w:nsid w:val="5AFE0CDB"/>
    <w:multiLevelType w:val="hybridMultilevel"/>
    <w:tmpl w:val="C4347C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60126157"/>
    <w:multiLevelType w:val="hybridMultilevel"/>
    <w:tmpl w:val="A90C9AB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92"/>
    <w:rsid w:val="00076BAA"/>
    <w:rsid w:val="001768DB"/>
    <w:rsid w:val="002959FE"/>
    <w:rsid w:val="003665A7"/>
    <w:rsid w:val="003B42E3"/>
    <w:rsid w:val="003C6A7C"/>
    <w:rsid w:val="00494FF5"/>
    <w:rsid w:val="004C1B7E"/>
    <w:rsid w:val="004E6D24"/>
    <w:rsid w:val="007234E2"/>
    <w:rsid w:val="00726C08"/>
    <w:rsid w:val="007B5E92"/>
    <w:rsid w:val="00950A02"/>
    <w:rsid w:val="00986CA4"/>
    <w:rsid w:val="00A05443"/>
    <w:rsid w:val="00A609FA"/>
    <w:rsid w:val="00AE2C44"/>
    <w:rsid w:val="00C241A0"/>
    <w:rsid w:val="00D07A4C"/>
    <w:rsid w:val="00DA4B8A"/>
    <w:rsid w:val="00DB4625"/>
    <w:rsid w:val="00E77221"/>
    <w:rsid w:val="00EC1727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00" w:lineRule="atLeast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qFormat/>
    <w:pPr>
      <w:numPr>
        <w:numId w:val="1"/>
      </w:numPr>
      <w:spacing w:before="120" w:after="120"/>
      <w:jc w:val="left"/>
      <w:outlineLvl w:val="0"/>
    </w:pPr>
    <w:rPr>
      <w:rFonts w:ascii="Helvetica" w:hAnsi="Helvetica" w:cs="Helvetica"/>
      <w:b/>
      <w:bCs/>
      <w:i/>
      <w:smallCaps/>
      <w:kern w:val="36"/>
      <w:szCs w:val="48"/>
    </w:rPr>
  </w:style>
  <w:style w:type="paragraph" w:styleId="Ttulo2">
    <w:name w:val="heading 2"/>
    <w:basedOn w:val="Normal"/>
    <w:next w:val="Normal"/>
    <w:qFormat/>
    <w:pPr>
      <w:keepNext/>
      <w:spacing w:before="120"/>
      <w:ind w:left="284"/>
      <w:outlineLvl w:val="1"/>
    </w:pPr>
    <w:rPr>
      <w:rFonts w:eastAsia="@Batang"/>
      <w:b/>
      <w:bCs/>
      <w:i/>
    </w:rPr>
  </w:style>
  <w:style w:type="paragraph" w:styleId="Ttulo3">
    <w:name w:val="heading 3"/>
    <w:basedOn w:val="Normal"/>
    <w:next w:val="Normal"/>
    <w:qFormat/>
    <w:pPr>
      <w:keepNext/>
      <w:keepLines/>
      <w:spacing w:before="120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rPr>
      <w:rFonts w:ascii="Arial" w:eastAsia="@Batang" w:hAnsi="Arial" w:cs="Arial"/>
      <w:b/>
      <w:bCs/>
      <w:i/>
      <w:sz w:val="24"/>
      <w:szCs w:val="24"/>
      <w:lang w:eastAsia="pt-BR"/>
    </w:rPr>
  </w:style>
  <w:style w:type="character" w:customStyle="1" w:styleId="Heading7Char">
    <w:name w:val="Heading 7 Char"/>
    <w:basedOn w:val="Fontepargpadro"/>
    <w:rPr>
      <w:rFonts w:ascii="Calibri" w:hAnsi="Calibri" w:cs="Times New Roman"/>
      <w:sz w:val="24"/>
      <w:szCs w:val="24"/>
      <w:lang w:eastAsia="pt-BR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rPr>
      <w:rFonts w:ascii="Arial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semiHidden/>
    <w:rPr>
      <w:rFonts w:ascii="Times New Roman" w:hAnsi="Times New Roman" w:cs="Times New Roman"/>
    </w:rPr>
  </w:style>
  <w:style w:type="paragraph" w:styleId="Ttulo">
    <w:name w:val="Title"/>
    <w:basedOn w:val="Normal"/>
    <w:qFormat/>
    <w:pPr>
      <w:jc w:val="center"/>
    </w:pPr>
    <w:rPr>
      <w:b/>
      <w:bCs/>
      <w:iCs/>
      <w:smallCaps/>
      <w:lang w:val="pt-PT"/>
    </w:rPr>
  </w:style>
  <w:style w:type="character" w:customStyle="1" w:styleId="TitleChar">
    <w:name w:val="Title Char"/>
    <w:basedOn w:val="Fontepargpadro"/>
    <w:rPr>
      <w:rFonts w:ascii="Arial" w:hAnsi="Arial" w:cs="Arial"/>
      <w:b/>
      <w:bCs/>
      <w:iCs/>
      <w:smallCaps/>
      <w:sz w:val="24"/>
      <w:szCs w:val="24"/>
      <w:lang w:val="pt-PT" w:eastAsia="pt-BR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8"/>
    </w:rPr>
  </w:style>
  <w:style w:type="character" w:customStyle="1" w:styleId="HeaderChar">
    <w:name w:val="Header Char"/>
    <w:basedOn w:val="Fontepargpadro"/>
    <w:rPr>
      <w:rFonts w:ascii="Arial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semiHidden/>
    <w:pPr>
      <w:spacing w:line="360" w:lineRule="auto"/>
    </w:pPr>
    <w:rPr>
      <w:b/>
      <w:bCs/>
      <w:szCs w:val="28"/>
    </w:rPr>
  </w:style>
  <w:style w:type="character" w:customStyle="1" w:styleId="BodyText2Char">
    <w:name w:val="Body Text 2 Char"/>
    <w:basedOn w:val="Fontepargpadro"/>
    <w:rPr>
      <w:rFonts w:ascii="Arial" w:hAnsi="Arial" w:cs="Arial"/>
      <w:b/>
      <w:bCs/>
      <w:sz w:val="28"/>
      <w:szCs w:val="28"/>
      <w:lang w:eastAsia="pt-BR"/>
    </w:rPr>
  </w:style>
  <w:style w:type="paragraph" w:customStyle="1" w:styleId="CDESCABEALHO">
    <w:name w:val="CDES CABEÇALHO"/>
    <w:basedOn w:val="Normal"/>
    <w:pPr>
      <w:spacing w:before="120" w:after="120" w:line="240" w:lineRule="auto"/>
      <w:jc w:val="center"/>
    </w:pPr>
    <w:rPr>
      <w:b/>
      <w:caps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Fontepargpadro"/>
    <w:rPr>
      <w:rFonts w:ascii="Helvetica" w:hAnsi="Helvetica" w:cs="Helvetica"/>
      <w:b/>
      <w:bCs/>
      <w:i/>
      <w:smallCaps/>
      <w:kern w:val="36"/>
      <w:sz w:val="48"/>
      <w:szCs w:val="48"/>
      <w:lang w:eastAsia="pt-BR"/>
    </w:rPr>
  </w:style>
  <w:style w:type="character" w:customStyle="1" w:styleId="st1">
    <w:name w:val="st1"/>
    <w:basedOn w:val="Fontepargpadro"/>
    <w:rPr>
      <w:rFonts w:ascii="Times New Roman" w:hAnsi="Times New Roman" w:cs="Times New Roman"/>
    </w:rPr>
  </w:style>
  <w:style w:type="character" w:styleId="Forte">
    <w:name w:val="Strong"/>
    <w:basedOn w:val="Fontepargpadro"/>
    <w:qFormat/>
    <w:rPr>
      <w:b/>
    </w:rPr>
  </w:style>
  <w:style w:type="character" w:customStyle="1" w:styleId="text">
    <w:name w:val="text"/>
    <w:basedOn w:val="Fontepargpadro"/>
    <w:rPr>
      <w:rFonts w:ascii="Times New Roman" w:hAnsi="Times New Roman" w:cs="Times New Roman"/>
    </w:rPr>
  </w:style>
  <w:style w:type="character" w:customStyle="1" w:styleId="ft">
    <w:name w:val="ft"/>
    <w:basedOn w:val="Fontepargpadro"/>
    <w:rPr>
      <w:rFonts w:ascii="Times New Roman" w:hAnsi="Times New Roman" w:cs="Times New Roman"/>
    </w:rPr>
  </w:style>
  <w:style w:type="character" w:styleId="Nmerodelinha">
    <w:name w:val="line number"/>
    <w:basedOn w:val="Fontepargpadro"/>
    <w:semiHidden/>
    <w:rPr>
      <w:rFonts w:ascii="Times New Roman" w:hAnsi="Times New Roman" w:cs="Times New Roman"/>
    </w:rPr>
  </w:style>
  <w:style w:type="paragraph" w:styleId="Legenda">
    <w:name w:val="caption"/>
    <w:basedOn w:val="Normal"/>
    <w:next w:val="Normal"/>
    <w:qFormat/>
    <w:pPr>
      <w:spacing w:before="40" w:after="40" w:line="340" w:lineRule="atLeast"/>
      <w:jc w:val="center"/>
    </w:pPr>
    <w:rPr>
      <w:b/>
      <w:smallCaps/>
      <w:sz w:val="28"/>
      <w:lang w:eastAsia="it-IT"/>
    </w:rPr>
  </w:style>
  <w:style w:type="paragraph" w:styleId="Textodenotaderodap">
    <w:name w:val="footnote text"/>
    <w:basedOn w:val="Normal"/>
    <w:semiHidden/>
    <w:pPr>
      <w:spacing w:before="0" w:after="0" w:line="240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Fontepargpadro"/>
    <w:rPr>
      <w:rFonts w:ascii="Calibri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Fontepargpadro"/>
    <w:semiHidden/>
    <w:rPr>
      <w:rFonts w:ascii="Arial" w:hAnsi="Arial" w:cs="Arial"/>
      <w:color w:val="0088CC"/>
      <w:sz w:val="17"/>
      <w:szCs w:val="17"/>
      <w:u w:val="none"/>
      <w:effect w:val="none"/>
    </w:rPr>
  </w:style>
  <w:style w:type="paragraph" w:customStyle="1" w:styleId="Textodebalo1">
    <w:name w:val="Texto de balão1"/>
    <w:basedOn w:val="Normal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  <w:lang w:eastAsia="pt-BR"/>
    </w:rPr>
  </w:style>
  <w:style w:type="character" w:customStyle="1" w:styleId="Heading3Char">
    <w:name w:val="Heading 3 Char"/>
    <w:basedOn w:val="Fontepargpadro"/>
    <w:rPr>
      <w:rFonts w:ascii="Arial" w:hAnsi="Arial" w:cs="Arial"/>
      <w:b/>
      <w:bCs/>
      <w:sz w:val="24"/>
      <w:szCs w:val="24"/>
      <w:lang w:eastAsia="pt-BR"/>
    </w:rPr>
  </w:style>
  <w:style w:type="paragraph" w:customStyle="1" w:styleId="CabealhodoSumrio1">
    <w:name w:val="Cabeçalho do Sumário1"/>
    <w:basedOn w:val="Ttulo1"/>
    <w:next w:val="Normal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i w:val="0"/>
      <w:smallCaps w:val="0"/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semiHidden/>
    <w:pPr>
      <w:tabs>
        <w:tab w:val="left" w:pos="480"/>
        <w:tab w:val="right" w:leader="dot" w:pos="9629"/>
      </w:tabs>
      <w:spacing w:before="0" w:after="0" w:line="240" w:lineRule="auto"/>
    </w:pPr>
  </w:style>
  <w:style w:type="paragraph" w:styleId="Sumrio2">
    <w:name w:val="toc 2"/>
    <w:basedOn w:val="Normal"/>
    <w:next w:val="Normal"/>
    <w:autoRedefine/>
    <w:semiHidden/>
    <w:pPr>
      <w:spacing w:after="100"/>
      <w:ind w:left="240"/>
    </w:pPr>
  </w:style>
  <w:style w:type="paragraph" w:styleId="Sumrio3">
    <w:name w:val="toc 3"/>
    <w:basedOn w:val="Normal"/>
    <w:next w:val="Normal"/>
    <w:autoRedefine/>
    <w:semiHidden/>
    <w:pPr>
      <w:spacing w:after="100"/>
      <w:ind w:left="480"/>
    </w:pPr>
  </w:style>
  <w:style w:type="character" w:styleId="Refdecomentrio">
    <w:name w:val="annotation reference"/>
    <w:basedOn w:val="Fontepargpadro"/>
    <w:uiPriority w:val="99"/>
    <w:semiHidden/>
    <w:unhideWhenUsed/>
    <w:rsid w:val="003665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65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65A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65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65A7"/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00" w:lineRule="atLeast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qFormat/>
    <w:pPr>
      <w:numPr>
        <w:numId w:val="1"/>
      </w:numPr>
      <w:spacing w:before="120" w:after="120"/>
      <w:jc w:val="left"/>
      <w:outlineLvl w:val="0"/>
    </w:pPr>
    <w:rPr>
      <w:rFonts w:ascii="Helvetica" w:hAnsi="Helvetica" w:cs="Helvetica"/>
      <w:b/>
      <w:bCs/>
      <w:i/>
      <w:smallCaps/>
      <w:kern w:val="36"/>
      <w:szCs w:val="48"/>
    </w:rPr>
  </w:style>
  <w:style w:type="paragraph" w:styleId="Ttulo2">
    <w:name w:val="heading 2"/>
    <w:basedOn w:val="Normal"/>
    <w:next w:val="Normal"/>
    <w:qFormat/>
    <w:pPr>
      <w:keepNext/>
      <w:spacing w:before="120"/>
      <w:ind w:left="284"/>
      <w:outlineLvl w:val="1"/>
    </w:pPr>
    <w:rPr>
      <w:rFonts w:eastAsia="@Batang"/>
      <w:b/>
      <w:bCs/>
      <w:i/>
    </w:rPr>
  </w:style>
  <w:style w:type="paragraph" w:styleId="Ttulo3">
    <w:name w:val="heading 3"/>
    <w:basedOn w:val="Normal"/>
    <w:next w:val="Normal"/>
    <w:qFormat/>
    <w:pPr>
      <w:keepNext/>
      <w:keepLines/>
      <w:spacing w:before="120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2Char">
    <w:name w:val="Heading 2 Char"/>
    <w:basedOn w:val="Fontepargpadro"/>
    <w:rPr>
      <w:rFonts w:ascii="Arial" w:eastAsia="@Batang" w:hAnsi="Arial" w:cs="Arial"/>
      <w:b/>
      <w:bCs/>
      <w:i/>
      <w:sz w:val="24"/>
      <w:szCs w:val="24"/>
      <w:lang w:eastAsia="pt-BR"/>
    </w:rPr>
  </w:style>
  <w:style w:type="character" w:customStyle="1" w:styleId="Heading7Char">
    <w:name w:val="Heading 7 Char"/>
    <w:basedOn w:val="Fontepargpadro"/>
    <w:rPr>
      <w:rFonts w:ascii="Calibri" w:hAnsi="Calibri" w:cs="Times New Roman"/>
      <w:sz w:val="24"/>
      <w:szCs w:val="24"/>
      <w:lang w:eastAsia="pt-BR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rPr>
      <w:rFonts w:ascii="Arial" w:hAnsi="Arial" w:cs="Arial"/>
      <w:sz w:val="24"/>
      <w:szCs w:val="24"/>
      <w:lang w:eastAsia="pt-BR"/>
    </w:rPr>
  </w:style>
  <w:style w:type="character" w:styleId="Nmerodepgina">
    <w:name w:val="page number"/>
    <w:basedOn w:val="Fontepargpadro"/>
    <w:semiHidden/>
    <w:rPr>
      <w:rFonts w:ascii="Times New Roman" w:hAnsi="Times New Roman" w:cs="Times New Roman"/>
    </w:rPr>
  </w:style>
  <w:style w:type="paragraph" w:styleId="Ttulo">
    <w:name w:val="Title"/>
    <w:basedOn w:val="Normal"/>
    <w:qFormat/>
    <w:pPr>
      <w:jc w:val="center"/>
    </w:pPr>
    <w:rPr>
      <w:b/>
      <w:bCs/>
      <w:iCs/>
      <w:smallCaps/>
      <w:lang w:val="pt-PT"/>
    </w:rPr>
  </w:style>
  <w:style w:type="character" w:customStyle="1" w:styleId="TitleChar">
    <w:name w:val="Title Char"/>
    <w:basedOn w:val="Fontepargpadro"/>
    <w:rPr>
      <w:rFonts w:ascii="Arial" w:hAnsi="Arial" w:cs="Arial"/>
      <w:b/>
      <w:bCs/>
      <w:iCs/>
      <w:smallCaps/>
      <w:sz w:val="24"/>
      <w:szCs w:val="24"/>
      <w:lang w:val="pt-PT" w:eastAsia="pt-BR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8"/>
    </w:rPr>
  </w:style>
  <w:style w:type="character" w:customStyle="1" w:styleId="HeaderChar">
    <w:name w:val="Header Char"/>
    <w:basedOn w:val="Fontepargpadro"/>
    <w:rPr>
      <w:rFonts w:ascii="Arial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semiHidden/>
    <w:pPr>
      <w:spacing w:line="360" w:lineRule="auto"/>
    </w:pPr>
    <w:rPr>
      <w:b/>
      <w:bCs/>
      <w:szCs w:val="28"/>
    </w:rPr>
  </w:style>
  <w:style w:type="character" w:customStyle="1" w:styleId="BodyText2Char">
    <w:name w:val="Body Text 2 Char"/>
    <w:basedOn w:val="Fontepargpadro"/>
    <w:rPr>
      <w:rFonts w:ascii="Arial" w:hAnsi="Arial" w:cs="Arial"/>
      <w:b/>
      <w:bCs/>
      <w:sz w:val="28"/>
      <w:szCs w:val="28"/>
      <w:lang w:eastAsia="pt-BR"/>
    </w:rPr>
  </w:style>
  <w:style w:type="paragraph" w:customStyle="1" w:styleId="CDESCABEALHO">
    <w:name w:val="CDES CABEÇALHO"/>
    <w:basedOn w:val="Normal"/>
    <w:pPr>
      <w:spacing w:before="120" w:after="120" w:line="240" w:lineRule="auto"/>
      <w:jc w:val="center"/>
    </w:pPr>
    <w:rPr>
      <w:b/>
      <w:caps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Fontepargpadro"/>
    <w:rPr>
      <w:rFonts w:ascii="Helvetica" w:hAnsi="Helvetica" w:cs="Helvetica"/>
      <w:b/>
      <w:bCs/>
      <w:i/>
      <w:smallCaps/>
      <w:kern w:val="36"/>
      <w:sz w:val="48"/>
      <w:szCs w:val="48"/>
      <w:lang w:eastAsia="pt-BR"/>
    </w:rPr>
  </w:style>
  <w:style w:type="character" w:customStyle="1" w:styleId="st1">
    <w:name w:val="st1"/>
    <w:basedOn w:val="Fontepargpadro"/>
    <w:rPr>
      <w:rFonts w:ascii="Times New Roman" w:hAnsi="Times New Roman" w:cs="Times New Roman"/>
    </w:rPr>
  </w:style>
  <w:style w:type="character" w:styleId="Forte">
    <w:name w:val="Strong"/>
    <w:basedOn w:val="Fontepargpadro"/>
    <w:qFormat/>
    <w:rPr>
      <w:b/>
    </w:rPr>
  </w:style>
  <w:style w:type="character" w:customStyle="1" w:styleId="text">
    <w:name w:val="text"/>
    <w:basedOn w:val="Fontepargpadro"/>
    <w:rPr>
      <w:rFonts w:ascii="Times New Roman" w:hAnsi="Times New Roman" w:cs="Times New Roman"/>
    </w:rPr>
  </w:style>
  <w:style w:type="character" w:customStyle="1" w:styleId="ft">
    <w:name w:val="ft"/>
    <w:basedOn w:val="Fontepargpadro"/>
    <w:rPr>
      <w:rFonts w:ascii="Times New Roman" w:hAnsi="Times New Roman" w:cs="Times New Roman"/>
    </w:rPr>
  </w:style>
  <w:style w:type="character" w:styleId="Nmerodelinha">
    <w:name w:val="line number"/>
    <w:basedOn w:val="Fontepargpadro"/>
    <w:semiHidden/>
    <w:rPr>
      <w:rFonts w:ascii="Times New Roman" w:hAnsi="Times New Roman" w:cs="Times New Roman"/>
    </w:rPr>
  </w:style>
  <w:style w:type="paragraph" w:styleId="Legenda">
    <w:name w:val="caption"/>
    <w:basedOn w:val="Normal"/>
    <w:next w:val="Normal"/>
    <w:qFormat/>
    <w:pPr>
      <w:spacing w:before="40" w:after="40" w:line="340" w:lineRule="atLeast"/>
      <w:jc w:val="center"/>
    </w:pPr>
    <w:rPr>
      <w:b/>
      <w:smallCaps/>
      <w:sz w:val="28"/>
      <w:lang w:eastAsia="it-IT"/>
    </w:rPr>
  </w:style>
  <w:style w:type="paragraph" w:styleId="Textodenotaderodap">
    <w:name w:val="footnote text"/>
    <w:basedOn w:val="Normal"/>
    <w:semiHidden/>
    <w:pPr>
      <w:spacing w:before="0" w:after="0" w:line="240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Fontepargpadro"/>
    <w:rPr>
      <w:rFonts w:ascii="Calibri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rFonts w:ascii="Times New Roman" w:hAnsi="Times New Roman" w:cs="Times New Roman"/>
      <w:vertAlign w:val="superscript"/>
    </w:rPr>
  </w:style>
  <w:style w:type="character" w:styleId="Hyperlink">
    <w:name w:val="Hyperlink"/>
    <w:basedOn w:val="Fontepargpadro"/>
    <w:semiHidden/>
    <w:rPr>
      <w:rFonts w:ascii="Arial" w:hAnsi="Arial" w:cs="Arial"/>
      <w:color w:val="0088CC"/>
      <w:sz w:val="17"/>
      <w:szCs w:val="17"/>
      <w:u w:val="none"/>
      <w:effect w:val="none"/>
    </w:rPr>
  </w:style>
  <w:style w:type="paragraph" w:customStyle="1" w:styleId="Textodebalo1">
    <w:name w:val="Texto de balão1"/>
    <w:basedOn w:val="Normal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  <w:lang w:eastAsia="pt-BR"/>
    </w:rPr>
  </w:style>
  <w:style w:type="character" w:customStyle="1" w:styleId="Heading3Char">
    <w:name w:val="Heading 3 Char"/>
    <w:basedOn w:val="Fontepargpadro"/>
    <w:rPr>
      <w:rFonts w:ascii="Arial" w:hAnsi="Arial" w:cs="Arial"/>
      <w:b/>
      <w:bCs/>
      <w:sz w:val="24"/>
      <w:szCs w:val="24"/>
      <w:lang w:eastAsia="pt-BR"/>
    </w:rPr>
  </w:style>
  <w:style w:type="paragraph" w:customStyle="1" w:styleId="CabealhodoSumrio1">
    <w:name w:val="Cabeçalho do Sumário1"/>
    <w:basedOn w:val="Ttulo1"/>
    <w:next w:val="Normal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i w:val="0"/>
      <w:smallCaps w:val="0"/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semiHidden/>
    <w:pPr>
      <w:tabs>
        <w:tab w:val="left" w:pos="480"/>
        <w:tab w:val="right" w:leader="dot" w:pos="9629"/>
      </w:tabs>
      <w:spacing w:before="0" w:after="0" w:line="240" w:lineRule="auto"/>
    </w:pPr>
  </w:style>
  <w:style w:type="paragraph" w:styleId="Sumrio2">
    <w:name w:val="toc 2"/>
    <w:basedOn w:val="Normal"/>
    <w:next w:val="Normal"/>
    <w:autoRedefine/>
    <w:semiHidden/>
    <w:pPr>
      <w:spacing w:after="100"/>
      <w:ind w:left="240"/>
    </w:pPr>
  </w:style>
  <w:style w:type="paragraph" w:styleId="Sumrio3">
    <w:name w:val="toc 3"/>
    <w:basedOn w:val="Normal"/>
    <w:next w:val="Normal"/>
    <w:autoRedefine/>
    <w:semiHidden/>
    <w:pPr>
      <w:spacing w:after="100"/>
      <w:ind w:left="480"/>
    </w:pPr>
  </w:style>
  <w:style w:type="character" w:styleId="Refdecomentrio">
    <w:name w:val="annotation reference"/>
    <w:basedOn w:val="Fontepargpadro"/>
    <w:uiPriority w:val="99"/>
    <w:semiHidden/>
    <w:unhideWhenUsed/>
    <w:rsid w:val="003665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65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65A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65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65A7"/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E2B2D-2827-49AF-8346-6DE53BFD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1452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Presidência da República</vt:lpstr>
    </vt:vector>
  </TitlesOfParts>
  <Company>Microsoft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Presidência da República</dc:title>
  <dc:creator>Betina Ferraz Barbosa</dc:creator>
  <cp:lastModifiedBy>Angela Cotta Ferreira Gomes</cp:lastModifiedBy>
  <cp:revision>2</cp:revision>
  <cp:lastPrinted>2013-02-14T17:43:00Z</cp:lastPrinted>
  <dcterms:created xsi:type="dcterms:W3CDTF">2013-02-14T20:40:00Z</dcterms:created>
  <dcterms:modified xsi:type="dcterms:W3CDTF">2013-02-14T20:40:00Z</dcterms:modified>
</cp:coreProperties>
</file>